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field of</w:t>
      </w:r>
    </w:p>
    <w:p w:rsidR="00000000" w:rsidDel="00000000" w:rsidP="00000000" w:rsidRDefault="00000000" w:rsidRPr="00000000" w14:paraId="00000007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Engineering</w:t>
      </w:r>
    </w:p>
    <w:p w:rsidR="00000000" w:rsidDel="00000000" w:rsidP="00000000" w:rsidRDefault="00000000" w:rsidRPr="00000000" w14:paraId="00000008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1215"/>
        <w:gridCol w:w="1260"/>
        <w:gridCol w:w="570"/>
        <w:gridCol w:w="195"/>
        <w:gridCol w:w="495"/>
        <w:gridCol w:w="1275"/>
        <w:gridCol w:w="1200"/>
        <w:tblGridChange w:id="0">
          <w:tblGrid>
            <w:gridCol w:w="4845"/>
            <w:gridCol w:w="1215"/>
            <w:gridCol w:w="1260"/>
            <w:gridCol w:w="570"/>
            <w:gridCol w:w="195"/>
            <w:gridCol w:w="495"/>
            <w:gridCol w:w="1275"/>
            <w:gridCol w:w="12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Functions.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Exponential and Logarithmic Functions, Equations, and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Trigonometric Functions and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and Derivatives of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Geometry of a Triangle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 French/Swedish/Other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a Research Paper/Basics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Paper “.....” / Student Company “.....”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/ 100p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Additional Topics to Secondary School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Programming and Robotics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Scientific English Level 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Geometry and 3D Modelling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Applied Mathematics in Natural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 Physics I – Mechanics and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 Physics II – 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Electrotechnology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Organic Chemistry Related to Engineering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Spatial Design and Virtual Reality Practicum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STEAM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 hours</w:t>
            </w:r>
          </w:p>
        </w:tc>
      </w:tr>
    </w:tbl>
    <w:p w:rsidR="00000000" w:rsidDel="00000000" w:rsidP="00000000" w:rsidRDefault="00000000" w:rsidRPr="00000000" w14:paraId="00000371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373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374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375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376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78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37A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37B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37C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.3228346456694" w:top="1417.3228346456694" w:left="1700.7874015748032" w:right="1133.8582677165355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7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7D">
    <w:pPr>
      <w:spacing w:line="240" w:lineRule="auto"/>
      <w:ind w:left="-850.3937007874016" w:right="-279.330708661416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